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07110398" w14:textId="483D0E74" w:rsidR="00DD29D8" w:rsidRPr="00DD29D8" w:rsidRDefault="00DD29D8" w:rsidP="00DD29D8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4E605" w14:textId="77777777" w:rsidR="00BD5A20" w:rsidRDefault="00BD5A20" w:rsidP="00F301CC">
      <w:r>
        <w:separator/>
      </w:r>
    </w:p>
  </w:endnote>
  <w:endnote w:type="continuationSeparator" w:id="0">
    <w:p w14:paraId="29C908A7" w14:textId="77777777" w:rsidR="00BD5A20" w:rsidRDefault="00BD5A2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05DCB" w14:textId="77777777" w:rsidR="00BD5A20" w:rsidRDefault="00BD5A20" w:rsidP="00F301CC">
      <w:r>
        <w:separator/>
      </w:r>
    </w:p>
  </w:footnote>
  <w:footnote w:type="continuationSeparator" w:id="0">
    <w:p w14:paraId="095BD865" w14:textId="77777777" w:rsidR="00BD5A20" w:rsidRDefault="00BD5A2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5A20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29D8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D6B5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2025-11-12T06:48:00Z</dcterms:modified>
</cp:coreProperties>
</file>